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55" w:rsidRDefault="00A517EA" w:rsidP="00C86FB4">
      <w:pPr>
        <w:widowControl w:val="0"/>
        <w:spacing w:before="100" w:beforeAutospacing="1" w:after="100" w:afterAutospacing="1" w:line="360" w:lineRule="auto"/>
        <w:ind w:right="-164"/>
        <w:jc w:val="both"/>
        <w:rPr>
          <w:rFonts w:ascii="Palatino Linotype"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95F70">
        <w:rPr>
          <w:rFonts w:ascii="Palatino Linotype" w:hAnsi="Palatino Linotype" w:cs="Arial"/>
          <w:b/>
        </w:rPr>
        <w:t xml:space="preserve">VIGÉSIMA </w:t>
      </w:r>
      <w:r w:rsidR="00A8771E">
        <w:rPr>
          <w:rFonts w:ascii="Palatino Linotype" w:hAnsi="Palatino Linotype" w:cs="Arial"/>
          <w:b/>
        </w:rPr>
        <w:t xml:space="preserve">NOVENA </w:t>
      </w:r>
      <w:r w:rsidRPr="006D731E">
        <w:rPr>
          <w:rFonts w:ascii="Palatino Linotype" w:hAnsi="Palatino Linotype" w:cs="Arial"/>
          <w:b/>
        </w:rPr>
        <w:t xml:space="preserve">SESIÓN ORDINARIA DE </w:t>
      </w:r>
      <w:r w:rsidR="00A8771E">
        <w:rPr>
          <w:rFonts w:ascii="Palatino Linotype" w:hAnsi="Palatino Linotype" w:cs="Arial"/>
          <w:b/>
        </w:rPr>
        <w:t>QUINCE DE AGOSTO</w:t>
      </w:r>
      <w:r w:rsidRPr="006D731E">
        <w:rPr>
          <w:rFonts w:ascii="Palatino Linotype" w:hAnsi="Palatino Linotype" w:cs="Arial"/>
          <w:b/>
        </w:rPr>
        <w:t xml:space="preserve"> DE DOS MIL </w:t>
      </w:r>
      <w:r w:rsidR="006D731E">
        <w:rPr>
          <w:rFonts w:ascii="Palatino Linotype" w:hAnsi="Palatino Linotype" w:cs="Arial"/>
          <w:b/>
        </w:rPr>
        <w:t>DIECIOCHO</w:t>
      </w:r>
      <w:r w:rsidRPr="006D731E">
        <w:rPr>
          <w:rFonts w:ascii="Palatino Linotype" w:hAnsi="Palatino Linotype" w:cs="Arial"/>
          <w:b/>
        </w:rPr>
        <w:t xml:space="preserve">, </w:t>
      </w:r>
      <w:r w:rsidR="00A8771E">
        <w:rPr>
          <w:rFonts w:ascii="Palatino Linotype" w:hAnsi="Palatino Linotype" w:cs="Arial"/>
          <w:b/>
        </w:rPr>
        <w:t>EN EL</w:t>
      </w:r>
      <w:r w:rsidR="00A95F70">
        <w:rPr>
          <w:rFonts w:ascii="Palatino Linotype" w:hAnsi="Palatino Linotype" w:cs="Arial"/>
          <w:b/>
        </w:rPr>
        <w:t xml:space="preserve"> RECURSO DE REVISIÓN</w:t>
      </w:r>
      <w:r w:rsidR="008D4407">
        <w:rPr>
          <w:rFonts w:ascii="Palatino Linotype" w:hAnsi="Palatino Linotype" w:cs="Arial"/>
          <w:b/>
        </w:rPr>
        <w:t xml:space="preserve"> </w:t>
      </w:r>
      <w:r w:rsidR="00A8771E">
        <w:rPr>
          <w:rFonts w:ascii="Palatino Linotype" w:hAnsi="Palatino Linotype" w:cs="Arial"/>
          <w:b/>
        </w:rPr>
        <w:t>02098</w:t>
      </w:r>
      <w:r w:rsidR="008D4407" w:rsidRPr="008D4407">
        <w:rPr>
          <w:rFonts w:ascii="Palatino Linotype" w:hAnsi="Palatino Linotype" w:cs="Arial"/>
          <w:b/>
        </w:rPr>
        <w:t>/INFOEM/IP/RR/2018</w:t>
      </w:r>
      <w:r w:rsidR="00823404">
        <w:rPr>
          <w:rFonts w:ascii="Palatino Linotype" w:hAnsi="Palatino Linotype" w:cs="Arial"/>
          <w:b/>
        </w:rPr>
        <w:t>.</w:t>
      </w:r>
    </w:p>
    <w:p w:rsidR="000F0C55" w:rsidRDefault="00A517EA" w:rsidP="00C86FB4">
      <w:pPr>
        <w:widowControl w:val="0"/>
        <w:spacing w:before="100" w:beforeAutospacing="1" w:after="100" w:afterAutospacing="1"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w:t>
      </w:r>
      <w:r w:rsidR="00A8771E">
        <w:rPr>
          <w:rFonts w:ascii="Palatino Linotype" w:hAnsi="Palatino Linotype" w:cs="Arial"/>
        </w:rPr>
        <w:t>el</w:t>
      </w:r>
      <w:r w:rsidR="008D4407">
        <w:rPr>
          <w:rFonts w:ascii="Palatino Linotype" w:hAnsi="Palatino Linotype" w:cs="Arial"/>
        </w:rPr>
        <w:t xml:space="preserve"> recurso </w:t>
      </w:r>
      <w:r w:rsidRPr="006D731E">
        <w:rPr>
          <w:rFonts w:ascii="Palatino Linotype" w:hAnsi="Palatino Linotype" w:cs="Arial"/>
        </w:rPr>
        <w:t>de revisión</w:t>
      </w:r>
      <w:r w:rsidR="008D4407">
        <w:rPr>
          <w:rFonts w:ascii="Palatino Linotype" w:hAnsi="Palatino Linotype" w:cs="Arial"/>
        </w:rPr>
        <w:t xml:space="preserve"> </w:t>
      </w:r>
      <w:r w:rsidR="00A8771E" w:rsidRPr="00A8771E">
        <w:rPr>
          <w:rFonts w:ascii="Palatino Linotype" w:hAnsi="Palatino Linotype" w:cs="Arial"/>
          <w:b/>
        </w:rPr>
        <w:t>02098</w:t>
      </w:r>
      <w:r w:rsidR="008D4407" w:rsidRPr="008D4407">
        <w:rPr>
          <w:rFonts w:ascii="Palatino Linotype" w:hAnsi="Palatino Linotype" w:cs="Arial"/>
          <w:b/>
        </w:rPr>
        <w:t>/INFOEM/IP/RR/2018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823404">
        <w:rPr>
          <w:rFonts w:ascii="Palatino Linotype" w:hAnsi="Palatino Linotype" w:cs="Arial"/>
        </w:rPr>
        <w:t>el Comisionado</w:t>
      </w:r>
      <w:r w:rsidRPr="006D731E">
        <w:rPr>
          <w:rFonts w:ascii="Palatino Linotype" w:hAnsi="Palatino Linotype" w:cs="Arial"/>
        </w:rPr>
        <w:t xml:space="preserve"> </w:t>
      </w:r>
      <w:r w:rsidR="008D4407">
        <w:rPr>
          <w:rFonts w:ascii="Palatino Linotype" w:hAnsi="Palatino Linotype" w:cs="Arial"/>
          <w:b/>
        </w:rPr>
        <w:t>JOSÉ GUADALUPE LUNA HERNÁNDEZ</w:t>
      </w:r>
      <w:r w:rsidRPr="006D731E">
        <w:rPr>
          <w:rFonts w:ascii="Palatino Linotype" w:hAnsi="Palatino Linotype" w:cs="Arial"/>
        </w:rPr>
        <w:t xml:space="preserve">, </w:t>
      </w:r>
      <w:r w:rsidR="00F579EE">
        <w:rPr>
          <w:rFonts w:ascii="Palatino Linotype" w:hAnsi="Palatino Linotype" w:cs="Arial"/>
        </w:rPr>
        <w:t>que es del tenor siguiente.</w:t>
      </w:r>
    </w:p>
    <w:p w:rsidR="00A517EA" w:rsidRDefault="00A517EA" w:rsidP="00C86FB4">
      <w:pPr>
        <w:spacing w:before="100" w:beforeAutospacing="1" w:after="100" w:afterAutospacing="1" w:line="360" w:lineRule="auto"/>
        <w:jc w:val="both"/>
        <w:rPr>
          <w:rFonts w:ascii="Palatino Linotype" w:hAnsi="Palatino Linotype"/>
        </w:rPr>
      </w:pPr>
      <w:r w:rsidRPr="006D731E">
        <w:rPr>
          <w:rFonts w:ascii="Palatino Linotype" w:hAnsi="Palatino Linotype"/>
        </w:rPr>
        <w:t>Es de destacar, que la suscrita comparte esencialmente el estudio y sentido de la resolución del recurso de revisión; empero,</w:t>
      </w:r>
      <w:r w:rsidR="003B0314">
        <w:rPr>
          <w:rFonts w:ascii="Palatino Linotype" w:hAnsi="Palatino Linotype"/>
        </w:rPr>
        <w:t xml:space="preserve"> estimo</w:t>
      </w:r>
      <w:r w:rsidRPr="006D731E">
        <w:rPr>
          <w:rFonts w:ascii="Palatino Linotype" w:hAnsi="Palatino Linotype"/>
        </w:rPr>
        <w:t xml:space="preserve"> necesario precisar algunas consid</w:t>
      </w:r>
      <w:r w:rsidR="00F579EE">
        <w:rPr>
          <w:rFonts w:ascii="Palatino Linotype" w:hAnsi="Palatino Linotype"/>
        </w:rPr>
        <w:t>eraciones de hecho y de derecho.</w:t>
      </w:r>
    </w:p>
    <w:p w:rsidR="008965AF" w:rsidRDefault="00A517EA" w:rsidP="00C86FB4">
      <w:pPr>
        <w:spacing w:before="100" w:beforeAutospacing="1" w:after="100" w:afterAutospacing="1" w:line="360" w:lineRule="auto"/>
        <w:jc w:val="both"/>
        <w:rPr>
          <w:rFonts w:ascii="Palatino Linotype" w:hAnsi="Palatino Linotype"/>
        </w:rPr>
      </w:pPr>
      <w:r w:rsidRPr="006D731E">
        <w:rPr>
          <w:rFonts w:ascii="Palatino Linotype" w:hAnsi="Palatino Linotype"/>
        </w:rPr>
        <w:t xml:space="preserve">Al respecto, tal y como quedó debidamente asentado en la resolución materia del presente </w:t>
      </w:r>
      <w:r w:rsidR="00A8771E">
        <w:rPr>
          <w:rFonts w:ascii="Palatino Linotype" w:hAnsi="Palatino Linotype"/>
        </w:rPr>
        <w:t>voto, el</w:t>
      </w:r>
      <w:r w:rsidR="00A95F70">
        <w:rPr>
          <w:rFonts w:ascii="Palatino Linotype" w:hAnsi="Palatino Linotype"/>
        </w:rPr>
        <w:t xml:space="preserve"> particular requirió de la </w:t>
      </w:r>
      <w:r w:rsidR="00A8771E">
        <w:rPr>
          <w:rFonts w:ascii="Palatino Linotype" w:hAnsi="Palatino Linotype"/>
        </w:rPr>
        <w:t>Procuraduría de Protección al Ambiente del Estado de México</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3B0314">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vía </w:t>
      </w:r>
      <w:r w:rsidR="00823404" w:rsidRPr="00823404">
        <w:rPr>
          <w:rFonts w:ascii="Palatino Linotype" w:hAnsi="Palatino Linotype"/>
        </w:rPr>
        <w:lastRenderedPageBreak/>
        <w:t>Sistema de Acceso a la Información Mexiqu</w:t>
      </w:r>
      <w:r w:rsidR="00823404">
        <w:rPr>
          <w:rFonts w:ascii="Palatino Linotype" w:hAnsi="Palatino Linotype"/>
        </w:rPr>
        <w:t>ense (</w:t>
      </w:r>
      <w:r w:rsidR="00823404" w:rsidRPr="00823404">
        <w:rPr>
          <w:rFonts w:ascii="Palatino Linotype" w:hAnsi="Palatino Linotype"/>
          <w:b/>
        </w:rPr>
        <w:t>SAIMEX</w:t>
      </w:r>
      <w:r w:rsidR="00823404">
        <w:rPr>
          <w:rFonts w:ascii="Palatino Linotype" w:hAnsi="Palatino Linotype"/>
        </w:rPr>
        <w:t>),</w:t>
      </w:r>
      <w:r w:rsidR="006A33F9">
        <w:rPr>
          <w:rFonts w:ascii="Palatino Linotype" w:hAnsi="Palatino Linotype"/>
        </w:rPr>
        <w:t xml:space="preserve"> </w:t>
      </w:r>
      <w:r w:rsidR="00A8771E">
        <w:rPr>
          <w:rFonts w:ascii="Palatino Linotype" w:hAnsi="Palatino Linotype"/>
        </w:rPr>
        <w:t xml:space="preserve">la información que a continuación se desagrega: </w:t>
      </w:r>
    </w:p>
    <w:p w:rsidR="000F6A64" w:rsidRPr="000F6A64" w:rsidRDefault="000F6A64" w:rsidP="00C86FB4">
      <w:pPr>
        <w:ind w:left="851" w:right="902"/>
        <w:jc w:val="both"/>
        <w:rPr>
          <w:rFonts w:ascii="Palatino Linotype" w:hAnsi="Palatino Linotype" w:cs="Arial"/>
          <w:i/>
          <w:sz w:val="22"/>
          <w:szCs w:val="22"/>
        </w:rPr>
      </w:pPr>
      <w:r>
        <w:rPr>
          <w:rFonts w:ascii="Palatino Linotype" w:hAnsi="Palatino Linotype" w:cs="Arial"/>
          <w:i/>
          <w:sz w:val="22"/>
          <w:szCs w:val="22"/>
        </w:rPr>
        <w:t>“1</w:t>
      </w:r>
      <w:r w:rsidRPr="000F6A64">
        <w:rPr>
          <w:rFonts w:ascii="Palatino Linotype" w:hAnsi="Palatino Linotype" w:cs="Arial"/>
          <w:i/>
          <w:sz w:val="22"/>
          <w:szCs w:val="22"/>
        </w:rPr>
        <w:t xml:space="preserve">) Toda la documentación que esté relacionada y vinculada con el procedimiento administrativo que se le instauró a la empresa Lo-Max S. A. de C. V, responsable del “BANCO DE MATERIALES SAN LUCAS” consistente en la extracción de un banco de materiales pétreos, ubicado en el Ejido de San Lucas </w:t>
      </w:r>
      <w:proofErr w:type="spellStart"/>
      <w:r w:rsidRPr="000F6A64">
        <w:rPr>
          <w:rFonts w:ascii="Palatino Linotype" w:hAnsi="Palatino Linotype" w:cs="Arial"/>
          <w:i/>
          <w:sz w:val="22"/>
          <w:szCs w:val="22"/>
        </w:rPr>
        <w:t>Tepango</w:t>
      </w:r>
      <w:proofErr w:type="spellEnd"/>
      <w:r w:rsidRPr="000F6A64">
        <w:rPr>
          <w:rFonts w:ascii="Palatino Linotype" w:hAnsi="Palatino Linotype" w:cs="Arial"/>
          <w:i/>
          <w:sz w:val="22"/>
          <w:szCs w:val="22"/>
        </w:rPr>
        <w:t>, Municipio de Acolman, Estado de México (Tierras de Uso Común). Folio número PROPAEM/0745/2017.</w:t>
      </w:r>
    </w:p>
    <w:p w:rsidR="000F6A64" w:rsidRPr="000F6A64" w:rsidRDefault="000F6A64" w:rsidP="00C86FB4">
      <w:pPr>
        <w:ind w:left="851" w:right="902"/>
        <w:jc w:val="both"/>
        <w:rPr>
          <w:rFonts w:ascii="Palatino Linotype" w:hAnsi="Palatino Linotype" w:cs="Arial"/>
          <w:i/>
          <w:sz w:val="22"/>
          <w:szCs w:val="22"/>
        </w:rPr>
      </w:pPr>
      <w:r>
        <w:rPr>
          <w:rFonts w:ascii="Palatino Linotype" w:hAnsi="Palatino Linotype" w:cs="Arial"/>
          <w:i/>
          <w:sz w:val="22"/>
          <w:szCs w:val="22"/>
        </w:rPr>
        <w:t>2</w:t>
      </w:r>
      <w:r w:rsidRPr="000F6A64">
        <w:rPr>
          <w:rFonts w:ascii="Palatino Linotype" w:hAnsi="Palatino Linotype" w:cs="Arial"/>
          <w:i/>
          <w:sz w:val="22"/>
          <w:szCs w:val="22"/>
        </w:rPr>
        <w:t>) Informe sobre lo que propició la suspensión temporal del “BANCO DE MATERIALES SAN LUCAS” a la empresa Lo-Max S. A. de C. V., y si la suspensión va a ser Temporal o Definitiva.</w:t>
      </w:r>
    </w:p>
    <w:p w:rsidR="000F6A64" w:rsidRPr="000F6A64" w:rsidRDefault="000F6A64" w:rsidP="00C86FB4">
      <w:pPr>
        <w:ind w:left="851" w:right="902"/>
        <w:jc w:val="both"/>
        <w:rPr>
          <w:rFonts w:ascii="Palatino Linotype" w:hAnsi="Palatino Linotype" w:cs="Arial"/>
          <w:i/>
          <w:sz w:val="22"/>
          <w:szCs w:val="22"/>
        </w:rPr>
      </w:pPr>
      <w:r>
        <w:rPr>
          <w:rFonts w:ascii="Palatino Linotype" w:hAnsi="Palatino Linotype" w:cs="Arial"/>
          <w:i/>
          <w:sz w:val="22"/>
          <w:szCs w:val="22"/>
        </w:rPr>
        <w:t>3</w:t>
      </w:r>
      <w:r w:rsidRPr="000F6A64">
        <w:rPr>
          <w:rFonts w:ascii="Palatino Linotype" w:hAnsi="Palatino Linotype" w:cs="Arial"/>
          <w:i/>
          <w:sz w:val="22"/>
          <w:szCs w:val="22"/>
        </w:rPr>
        <w:t>) Si el motivo de la suspensión fue por falta de autorizaciones o permisos a las Instancias correspondientes, o incumplió con los términos y condiciones establecidos en el los resolutivos.</w:t>
      </w:r>
    </w:p>
    <w:p w:rsidR="000F6A64" w:rsidRPr="000F6A64" w:rsidRDefault="000F6A64" w:rsidP="00C86FB4">
      <w:pPr>
        <w:ind w:left="851" w:right="902"/>
        <w:jc w:val="both"/>
        <w:rPr>
          <w:rFonts w:ascii="Palatino Linotype" w:hAnsi="Palatino Linotype" w:cs="Arial"/>
          <w:i/>
          <w:sz w:val="22"/>
          <w:szCs w:val="22"/>
        </w:rPr>
      </w:pPr>
      <w:r>
        <w:rPr>
          <w:rFonts w:ascii="Palatino Linotype" w:hAnsi="Palatino Linotype" w:cs="Arial"/>
          <w:i/>
          <w:sz w:val="22"/>
          <w:szCs w:val="22"/>
        </w:rPr>
        <w:t>4</w:t>
      </w:r>
      <w:r w:rsidRPr="000F6A64">
        <w:rPr>
          <w:rFonts w:ascii="Palatino Linotype" w:hAnsi="Palatino Linotype" w:cs="Arial"/>
          <w:i/>
          <w:sz w:val="22"/>
          <w:szCs w:val="22"/>
        </w:rPr>
        <w:t xml:space="preserve">) ¿Solicito saber para cuándo se tienen el Dictamen o la Resolución en relación al Procedimiento Administrativo? </w:t>
      </w:r>
    </w:p>
    <w:p w:rsidR="00A8771E" w:rsidRPr="000F6A64" w:rsidRDefault="000F6A64" w:rsidP="00C86FB4">
      <w:pPr>
        <w:ind w:left="851" w:right="902"/>
        <w:jc w:val="both"/>
        <w:rPr>
          <w:rFonts w:ascii="Palatino Linotype" w:hAnsi="Palatino Linotype" w:cs="Arial"/>
          <w:i/>
          <w:sz w:val="22"/>
          <w:szCs w:val="22"/>
        </w:rPr>
      </w:pPr>
      <w:r>
        <w:rPr>
          <w:rFonts w:ascii="Palatino Linotype" w:hAnsi="Palatino Linotype" w:cs="Arial"/>
          <w:i/>
          <w:sz w:val="22"/>
          <w:szCs w:val="22"/>
        </w:rPr>
        <w:t>5</w:t>
      </w:r>
      <w:r w:rsidRPr="000F6A64">
        <w:rPr>
          <w:rFonts w:ascii="Palatino Linotype" w:hAnsi="Palatino Linotype" w:cs="Arial"/>
          <w:i/>
          <w:sz w:val="22"/>
          <w:szCs w:val="22"/>
        </w:rPr>
        <w:t>) ¿Cuál es el plazo o tiempo límite que se le estimo a la empresa Lo-Max para darle solución a este Procedimiento Administrativo?</w:t>
      </w:r>
      <w:r>
        <w:rPr>
          <w:rFonts w:ascii="Palatino Linotype" w:hAnsi="Palatino Linotype" w:cs="Arial"/>
          <w:i/>
          <w:sz w:val="22"/>
          <w:szCs w:val="22"/>
        </w:rPr>
        <w:t xml:space="preserve">” </w:t>
      </w:r>
    </w:p>
    <w:p w:rsidR="001E5ED7" w:rsidRDefault="00A517EA" w:rsidP="00C86FB4">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224A94">
        <w:rPr>
          <w:rFonts w:ascii="Palatino Linotype" w:hAnsi="Palatino Linotype" w:cs="Arial"/>
        </w:rPr>
        <w:t xml:space="preserve"> como respuesta </w:t>
      </w:r>
      <w:r w:rsidR="00AC2253" w:rsidRPr="00CD55CA">
        <w:rPr>
          <w:rFonts w:ascii="Palatino Linotype" w:hAnsi="Palatino Linotype" w:cs="Arial"/>
          <w:szCs w:val="28"/>
        </w:rPr>
        <w:t>manifestó en lo conducente que</w:t>
      </w:r>
      <w:r w:rsidR="00757F78">
        <w:rPr>
          <w:rFonts w:ascii="Palatino Linotype" w:hAnsi="Palatino Linotype" w:cs="Arial"/>
          <w:szCs w:val="28"/>
        </w:rPr>
        <w:t>,</w:t>
      </w:r>
      <w:r w:rsidR="00AC2253" w:rsidRPr="00CD55CA">
        <w:rPr>
          <w:rFonts w:ascii="Palatino Linotype" w:hAnsi="Palatino Linotype" w:cs="Arial"/>
          <w:szCs w:val="28"/>
        </w:rPr>
        <w:t xml:space="preserve"> </w:t>
      </w:r>
      <w:r w:rsidR="000F6A64">
        <w:rPr>
          <w:rFonts w:ascii="Palatino Linotype" w:hAnsi="Palatino Linotype" w:cs="Arial"/>
          <w:szCs w:val="28"/>
        </w:rPr>
        <w:t>las copias simples que solicita se ponen a su disposición en las oficinas de la Procuraduría de Protección al Ambiente del Estado de México una vez que sea exhibido el comprobante de pago por derechos de expedición una vez acreditada la personalidad y el interés jurídico con el que se ostenta, en razón al punto 2 refirió que lo que originó la suspensión fue la falta de autorización en materia de impacto ambiental para llevar a cabo sus actividades de extracción de material pétreo y la clausura fue temporal, por lo que respecta al numeral 3 señaló que el motivo de la suspensión fue la falta de autorización en mate</w:t>
      </w:r>
      <w:r w:rsidR="001E5ED7">
        <w:rPr>
          <w:rFonts w:ascii="Palatino Linotype" w:hAnsi="Palatino Linotype" w:cs="Arial"/>
          <w:szCs w:val="28"/>
        </w:rPr>
        <w:t xml:space="preserve">ria de </w:t>
      </w:r>
      <w:r w:rsidR="001E5ED7">
        <w:rPr>
          <w:rFonts w:ascii="Palatino Linotype" w:hAnsi="Palatino Linotype" w:cs="Arial"/>
          <w:szCs w:val="28"/>
        </w:rPr>
        <w:lastRenderedPageBreak/>
        <w:t>impacto ambiental, con lo que respecta al numeral 4 y 5 estableció que el procedimiento número PROPAEM/0745/2017 cuenta con resolución administrativa de fecha veintitrés de febrero de dos mil dieciocho</w:t>
      </w:r>
      <w:r w:rsidR="001E5ED7">
        <w:rPr>
          <w:rFonts w:ascii="Palatino Linotype" w:hAnsi="Palatino Linotype" w:cs="Arial"/>
        </w:rPr>
        <w:t xml:space="preserve">. </w:t>
      </w:r>
    </w:p>
    <w:p w:rsidR="00A517EA" w:rsidRPr="006D731E" w:rsidRDefault="00A517EA" w:rsidP="00C86FB4">
      <w:pPr>
        <w:spacing w:before="100" w:beforeAutospacing="1" w:after="100" w:afterAutospacing="1" w:line="360" w:lineRule="auto"/>
        <w:jc w:val="both"/>
        <w:rPr>
          <w:rFonts w:ascii="Palatino Linotype" w:hAnsi="Palatino Linotype" w:cs="Arial"/>
        </w:rPr>
      </w:pPr>
      <w:r w:rsidRPr="006D731E">
        <w:rPr>
          <w:rFonts w:ascii="Palatino Linotype" w:hAnsi="Palatino Linotype"/>
          <w:lang w:eastAsia="es-MX"/>
        </w:rPr>
        <w:t>Inconforme con la resp</w:t>
      </w:r>
      <w:r w:rsidR="001E5ED7">
        <w:rPr>
          <w:rFonts w:ascii="Palatino Linotype" w:hAnsi="Palatino Linotype"/>
          <w:lang w:eastAsia="es-MX"/>
        </w:rPr>
        <w:t xml:space="preserve">uesta, </w:t>
      </w:r>
      <w:r w:rsidR="001E5ED7" w:rsidRPr="001E5ED7">
        <w:rPr>
          <w:rFonts w:ascii="Palatino Linotype" w:hAnsi="Palatino Linotype"/>
          <w:b/>
          <w:lang w:eastAsia="es-MX"/>
        </w:rPr>
        <w:t>EL</w:t>
      </w:r>
      <w:r w:rsidR="001E5ED7">
        <w:rPr>
          <w:rFonts w:ascii="Palatino Linotype" w:hAnsi="Palatino Linotype"/>
          <w:lang w:eastAsia="es-MX"/>
        </w:rPr>
        <w:t xml:space="preserve"> </w:t>
      </w:r>
      <w:r w:rsidR="001E5ED7">
        <w:rPr>
          <w:rFonts w:ascii="Palatino Linotype" w:hAnsi="Palatino Linotype"/>
          <w:b/>
          <w:lang w:eastAsia="es-MX"/>
        </w:rPr>
        <w:t>R</w:t>
      </w:r>
      <w:r w:rsidRPr="006D731E">
        <w:rPr>
          <w:rFonts w:ascii="Palatino Linotype" w:hAnsi="Palatino Linotype"/>
          <w:b/>
          <w:lang w:eastAsia="es-MX"/>
        </w:rPr>
        <w:t>ECURRENTE</w:t>
      </w:r>
      <w:r w:rsidRPr="006D731E">
        <w:rPr>
          <w:rFonts w:ascii="Palatino Linotype" w:hAnsi="Palatino Linotype"/>
          <w:lang w:eastAsia="es-MX"/>
        </w:rPr>
        <w:t xml:space="preserve"> </w:t>
      </w:r>
      <w:r w:rsidR="001E5ED7">
        <w:rPr>
          <w:rFonts w:ascii="Palatino Linotype" w:hAnsi="Palatino Linotype" w:cs="Arial"/>
        </w:rPr>
        <w:t xml:space="preserve">interpuso el </w:t>
      </w:r>
      <w:r w:rsidRPr="006D731E">
        <w:rPr>
          <w:rFonts w:ascii="Palatino Linotype" w:hAnsi="Palatino Linotype" w:cs="Arial"/>
        </w:rPr>
        <w:t>recurso de revisión de mérito</w:t>
      </w:r>
      <w:r w:rsidR="00FB6FE4">
        <w:rPr>
          <w:rFonts w:ascii="Palatino Linotype" w:hAnsi="Palatino Linotype" w:cs="Arial"/>
        </w:rPr>
        <w:t>,</w:t>
      </w:r>
      <w:r w:rsidRPr="006D731E">
        <w:rPr>
          <w:rFonts w:ascii="Palatino Linotype" w:hAnsi="Palatino Linotype" w:cs="Arial"/>
        </w:rPr>
        <w:t xml:space="preserve"> </w:t>
      </w:r>
      <w:r w:rsidR="00823404">
        <w:rPr>
          <w:rFonts w:ascii="Palatino Linotype" w:hAnsi="Palatino Linotype" w:cs="Arial"/>
        </w:rPr>
        <w:t>adoleciéndose precisamente del cobro por concepto de la digitalización de la información.</w:t>
      </w:r>
    </w:p>
    <w:p w:rsidR="00F91A7F" w:rsidRDefault="00A517EA" w:rsidP="00C86FB4">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 xml:space="preserve">Así,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F64E24">
        <w:rPr>
          <w:rFonts w:ascii="Palatino Linotype" w:hAnsi="Palatino Linotype" w:cs="Arial"/>
          <w:b/>
        </w:rPr>
        <w:t>MODIFICAR</w:t>
      </w:r>
      <w:r w:rsidR="00823404">
        <w:rPr>
          <w:rFonts w:ascii="Palatino Linotype" w:hAnsi="Palatino Linotype" w:cs="Arial"/>
          <w:b/>
        </w:rPr>
        <w:t xml:space="preserve"> </w:t>
      </w:r>
      <w:r w:rsidR="00823404">
        <w:rPr>
          <w:rFonts w:ascii="Palatino Linotype" w:hAnsi="Palatino Linotype" w:cs="Arial"/>
        </w:rPr>
        <w:t>l</w:t>
      </w:r>
      <w:r w:rsidR="00DF2B74">
        <w:rPr>
          <w:rFonts w:ascii="Palatino Linotype" w:hAnsi="Palatino Linotype" w:cs="Arial"/>
        </w:rPr>
        <w:t>a respuesta</w:t>
      </w:r>
      <w:r w:rsidR="00823404">
        <w:rPr>
          <w:rFonts w:ascii="Palatino Linotype" w:hAnsi="Palatino Linotype" w:cs="Arial"/>
        </w:rPr>
        <w:t xml:space="preserve"> del</w:t>
      </w:r>
      <w:r w:rsidR="00862F43" w:rsidRPr="006D731E">
        <w:rPr>
          <w:rFonts w:ascii="Palatino Linotype" w:hAnsi="Palatino Linotype" w:cs="Arial"/>
        </w:rPr>
        <w:t xml:space="preserve"> </w:t>
      </w:r>
      <w:r w:rsidR="00862F43" w:rsidRPr="006D731E">
        <w:rPr>
          <w:rFonts w:ascii="Palatino Linotype" w:hAnsi="Palatino Linotype" w:cs="Arial"/>
          <w:b/>
        </w:rPr>
        <w:t xml:space="preserve">SUJETO OBLIGADO, </w:t>
      </w:r>
      <w:r w:rsidR="00823404" w:rsidRPr="00823404">
        <w:rPr>
          <w:rFonts w:ascii="Palatino Linotype" w:hAnsi="Palatino Linotype" w:cs="Arial"/>
        </w:rPr>
        <w:t>ordenándole la entrega</w:t>
      </w:r>
      <w:r w:rsidR="00823404">
        <w:rPr>
          <w:rFonts w:ascii="Palatino Linotype" w:hAnsi="Palatino Linotype" w:cs="Arial"/>
          <w:b/>
        </w:rPr>
        <w:t xml:space="preserve"> </w:t>
      </w:r>
      <w:r w:rsidR="00F64E24">
        <w:rPr>
          <w:rFonts w:ascii="Palatino Linotype" w:hAnsi="Palatino Linotype" w:cs="Arial"/>
        </w:rPr>
        <w:t xml:space="preserve">vía SAIMEX en versión pública de lo siguiente: </w:t>
      </w:r>
    </w:p>
    <w:p w:rsidR="00F64E24" w:rsidRPr="00F64E24" w:rsidRDefault="00F64E24" w:rsidP="00C86FB4">
      <w:pPr>
        <w:pStyle w:val="Prrafodelista"/>
        <w:ind w:left="851" w:right="902"/>
        <w:jc w:val="both"/>
        <w:rPr>
          <w:rFonts w:ascii="Palatino Linotype" w:hAnsi="Palatino Linotype"/>
          <w:b/>
          <w:i/>
          <w:sz w:val="22"/>
          <w:szCs w:val="22"/>
          <w:lang w:eastAsia="es-MX"/>
        </w:rPr>
      </w:pPr>
      <w:r w:rsidRPr="00F64E24">
        <w:rPr>
          <w:rFonts w:ascii="Palatino Linotype" w:hAnsi="Palatino Linotype"/>
          <w:b/>
          <w:i/>
          <w:sz w:val="22"/>
          <w:szCs w:val="22"/>
          <w:lang w:eastAsia="es-MX"/>
        </w:rPr>
        <w:t xml:space="preserve">a) Expediente concluido requerido en </w:t>
      </w:r>
      <w:r w:rsidRPr="00F64E24">
        <w:rPr>
          <w:rFonts w:ascii="Palatino Linotype" w:eastAsia="Calibri" w:hAnsi="Palatino Linotype" w:cs="Arial"/>
          <w:b/>
          <w:i/>
          <w:color w:val="000000" w:themeColor="text1"/>
          <w:sz w:val="22"/>
          <w:szCs w:val="22"/>
          <w:lang w:val="es-ES"/>
        </w:rPr>
        <w:t>solicitud de información pública registrada con el número</w:t>
      </w:r>
      <w:r w:rsidRPr="00F64E24">
        <w:rPr>
          <w:rFonts w:ascii="Palatino Linotype" w:hAnsi="Palatino Linotype"/>
          <w:b/>
          <w:bCs/>
          <w:i/>
          <w:color w:val="000000" w:themeColor="text1"/>
          <w:sz w:val="22"/>
          <w:szCs w:val="22"/>
        </w:rPr>
        <w:t xml:space="preserve"> 00027/PROPAEM/IP/2018.</w:t>
      </w:r>
    </w:p>
    <w:p w:rsidR="00F64E24" w:rsidRPr="00F64E24" w:rsidRDefault="00F64E24" w:rsidP="00C86FB4">
      <w:pPr>
        <w:ind w:left="851" w:right="902"/>
        <w:jc w:val="both"/>
        <w:rPr>
          <w:rFonts w:ascii="Palatino Linotype" w:hAnsi="Palatino Linotype" w:cs="Arial"/>
          <w:i/>
          <w:sz w:val="22"/>
          <w:szCs w:val="22"/>
        </w:rPr>
      </w:pPr>
      <w:r w:rsidRPr="00F64E24">
        <w:rPr>
          <w:rFonts w:ascii="Palatino Linotype"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suprimirá dentro del soporte documental que se ordena en la presente resolución.</w:t>
      </w:r>
    </w:p>
    <w:p w:rsidR="00F64E24" w:rsidRPr="00F64E24" w:rsidRDefault="00F64E24" w:rsidP="00C86FB4">
      <w:pPr>
        <w:ind w:left="851" w:right="902"/>
        <w:contextualSpacing/>
        <w:jc w:val="both"/>
        <w:rPr>
          <w:rFonts w:ascii="Palatino Linotype" w:hAnsi="Palatino Linotype"/>
          <w:i/>
          <w:sz w:val="22"/>
          <w:szCs w:val="22"/>
        </w:rPr>
      </w:pPr>
      <w:r w:rsidRPr="00F64E24">
        <w:rPr>
          <w:rFonts w:ascii="Palatino Linotype" w:hAnsi="Palatino Linotype"/>
          <w:i/>
          <w:sz w:val="22"/>
          <w:szCs w:val="22"/>
          <w:lang w:eastAsia="en-US"/>
        </w:rPr>
        <w:t xml:space="preserve">En caso de no haber causado estado el procedimiento administrativo </w:t>
      </w:r>
      <w:r w:rsidRPr="00F64E24">
        <w:rPr>
          <w:rFonts w:ascii="Palatino Linotype" w:hAnsi="Palatino Linotype"/>
          <w:i/>
          <w:sz w:val="22"/>
          <w:szCs w:val="22"/>
          <w:lang w:eastAsia="es-MX"/>
        </w:rPr>
        <w:t xml:space="preserve">señalado en la solicitud </w:t>
      </w:r>
      <w:r w:rsidRPr="00F64E24">
        <w:rPr>
          <w:rFonts w:ascii="Palatino Linotype" w:hAnsi="Palatino Linotype"/>
          <w:i/>
          <w:sz w:val="22"/>
          <w:szCs w:val="22"/>
        </w:rPr>
        <w:t xml:space="preserve">y </w:t>
      </w:r>
      <w:r w:rsidRPr="00F64E24">
        <w:rPr>
          <w:rFonts w:ascii="Palatino Linotype" w:hAnsi="Palatino Linotype"/>
          <w:i/>
          <w:sz w:val="22"/>
          <w:szCs w:val="22"/>
          <w:lang w:eastAsia="en-US"/>
        </w:rPr>
        <w:t xml:space="preserve">concurra con alguna </w:t>
      </w:r>
      <w:r w:rsidRPr="00F64E24">
        <w:rPr>
          <w:rFonts w:ascii="Palatino Linotype" w:hAnsi="Palatino Linotype"/>
          <w:i/>
          <w:sz w:val="22"/>
          <w:szCs w:val="22"/>
          <w:lang w:val="es-ES" w:eastAsia="en-US"/>
        </w:rPr>
        <w:t>causal de reserva</w:t>
      </w:r>
      <w:r w:rsidRPr="00F64E24">
        <w:rPr>
          <w:rFonts w:ascii="Palatino Linotype" w:hAnsi="Palatino Linotype"/>
          <w:i/>
          <w:sz w:val="22"/>
          <w:szCs w:val="22"/>
        </w:rPr>
        <w:t xml:space="preserve">, </w:t>
      </w:r>
      <w:r w:rsidRPr="00F64E24">
        <w:rPr>
          <w:rFonts w:ascii="Palatino Linotype" w:hAnsi="Palatino Linotype"/>
          <w:i/>
          <w:sz w:val="22"/>
          <w:szCs w:val="22"/>
          <w:lang w:eastAsia="en-US"/>
        </w:rPr>
        <w:t>se deberá valorar el daño que la entrega de la información le causaría según los artículos 129 y 140 de la Ley de Transparencia y Acceso a la Información Pública del Estado de México y Municipios, solo si resulta procedente, determine la clasificación de la información como reservada debiendo emitir y entregar el acuerdo de clasificación de la información respectivo. De no ser así, deberá entregarse la información.</w:t>
      </w:r>
    </w:p>
    <w:p w:rsidR="00B30650" w:rsidRDefault="00A517EA" w:rsidP="00C86FB4">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 xml:space="preserve">En ese sentido, la que suscribe reitera, que si bien coincide en términos generales con el sentido de la resolución en comento, </w:t>
      </w:r>
      <w:r w:rsidR="00F91A7F">
        <w:rPr>
          <w:rFonts w:ascii="Palatino Linotype" w:hAnsi="Palatino Linotype" w:cs="Arial"/>
        </w:rPr>
        <w:t xml:space="preserve">estimo necesario precisar que </w:t>
      </w:r>
      <w:r w:rsidR="00F10238">
        <w:rPr>
          <w:rFonts w:ascii="Palatino Linotype" w:hAnsi="Palatino Linotype" w:cs="Arial"/>
        </w:rPr>
        <w:t xml:space="preserve">en cuanto hace </w:t>
      </w:r>
      <w:r w:rsidR="00D052DA">
        <w:rPr>
          <w:rFonts w:ascii="Palatino Linotype" w:hAnsi="Palatino Linotype" w:cs="Arial"/>
        </w:rPr>
        <w:t xml:space="preserve">al </w:t>
      </w:r>
      <w:r w:rsidR="00D052DA">
        <w:rPr>
          <w:rFonts w:ascii="Palatino Linotype" w:hAnsi="Palatino Linotype" w:cs="Arial"/>
        </w:rPr>
        <w:lastRenderedPageBreak/>
        <w:t xml:space="preserve">requerimiento que realizó </w:t>
      </w:r>
      <w:r w:rsidR="00D052DA" w:rsidRPr="00D052DA">
        <w:rPr>
          <w:rFonts w:ascii="Palatino Linotype" w:hAnsi="Palatino Linotype" w:cs="Arial"/>
          <w:b/>
        </w:rPr>
        <w:t>EL</w:t>
      </w:r>
      <w:r w:rsidR="00B30650">
        <w:rPr>
          <w:rFonts w:ascii="Palatino Linotype" w:hAnsi="Palatino Linotype" w:cs="Arial"/>
        </w:rPr>
        <w:t xml:space="preserve">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realizara el pago por concepto de digitalización de la información requerida por éste,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B30650" w:rsidRPr="00DC522B" w:rsidRDefault="00B30650" w:rsidP="00C86FB4">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Lo anterior</w:t>
      </w:r>
      <w:r w:rsidR="00FB6FE4">
        <w:rPr>
          <w:rFonts w:ascii="Palatino Linotype" w:hAnsi="Palatino Linotype" w:cs="Arial"/>
          <w:lang w:eastAsia="es-MX"/>
        </w:rPr>
        <w:t>, obedece a que</w:t>
      </w:r>
      <w:r>
        <w:rPr>
          <w:rFonts w:ascii="Palatino Linotype" w:hAnsi="Palatino Linotype" w:cs="Arial"/>
          <w:lang w:eastAsia="es-MX"/>
        </w:rPr>
        <w:t xml:space="preserve"> conforme a</w:t>
      </w:r>
      <w:r w:rsidR="003B0314">
        <w:rPr>
          <w:rFonts w:ascii="Palatino Linotype" w:hAnsi="Palatino Linotype" w:cs="Arial"/>
          <w:lang w:eastAsia="es-MX"/>
        </w:rPr>
        <w:t>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sidR="00FB6FE4">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sidR="00FB6FE4">
        <w:rPr>
          <w:rFonts w:ascii="Palatino Linotype" w:hAnsi="Palatino Linotype" w:cs="Arial"/>
          <w:lang w:eastAsia="es-MX"/>
        </w:rPr>
        <w:t>, tal como se advierte a continuación</w:t>
      </w:r>
      <w:r w:rsidRPr="00DC522B">
        <w:rPr>
          <w:rFonts w:ascii="Palatino Linotype" w:hAnsi="Palatino Linotype" w:cs="Arial"/>
          <w:lang w:eastAsia="es-MX"/>
        </w:rPr>
        <w:t>.</w:t>
      </w:r>
    </w:p>
    <w:p w:rsidR="00B30650" w:rsidRPr="00DC522B" w:rsidRDefault="00D05D82" w:rsidP="00757F78">
      <w:pPr>
        <w:ind w:left="851" w:right="899"/>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FB6FE4" w:rsidP="00757F78">
      <w:pPr>
        <w:ind w:left="851" w:right="899"/>
        <w:jc w:val="both"/>
        <w:rPr>
          <w:rFonts w:ascii="Palatino Linotype" w:hAnsi="Palatino Linotype" w:cs="Arial"/>
          <w:i/>
          <w:sz w:val="22"/>
          <w:lang w:eastAsia="es-MX"/>
        </w:rPr>
      </w:pPr>
      <w:r>
        <w:rPr>
          <w:rFonts w:ascii="Palatino Linotype" w:hAnsi="Palatino Linotype" w:cs="Arial"/>
          <w:i/>
          <w:sz w:val="22"/>
          <w:lang w:eastAsia="es-MX"/>
        </w:rPr>
        <w:t>…</w:t>
      </w:r>
    </w:p>
    <w:p w:rsidR="00FB6FE4" w:rsidRDefault="00B30650" w:rsidP="00757F78">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B30650" w:rsidRPr="00DC522B" w:rsidRDefault="00FB6FE4" w:rsidP="00757F78">
      <w:pPr>
        <w:ind w:left="851" w:right="899"/>
        <w:jc w:val="both"/>
        <w:rPr>
          <w:rFonts w:ascii="Palatino Linotype" w:hAnsi="Palatino Linotype" w:cs="Arial"/>
          <w:i/>
          <w:sz w:val="22"/>
          <w:lang w:eastAsia="es-MX"/>
        </w:rPr>
      </w:pPr>
      <w:r>
        <w:rPr>
          <w:rFonts w:ascii="Palatino Linotype" w:hAnsi="Palatino Linotype" w:cs="Arial"/>
          <w:i/>
          <w:sz w:val="22"/>
          <w:lang w:eastAsia="es-MX"/>
        </w:rPr>
        <w:t>…</w:t>
      </w:r>
      <w:r w:rsidR="00D05D82">
        <w:rPr>
          <w:rFonts w:ascii="Palatino Linotype" w:hAnsi="Palatino Linotype" w:cs="Arial"/>
          <w:i/>
          <w:sz w:val="22"/>
          <w:lang w:eastAsia="es-MX"/>
        </w:rPr>
        <w:t>”</w:t>
      </w:r>
    </w:p>
    <w:p w:rsidR="00B30650" w:rsidRPr="00DC522B" w:rsidRDefault="00B30650" w:rsidP="00C86FB4">
      <w:pPr>
        <w:spacing w:before="100" w:beforeAutospacing="1" w:after="100" w:afterAutospacing="1" w:line="360" w:lineRule="auto"/>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3B0314">
        <w:rPr>
          <w:rFonts w:ascii="Palatino Linotype" w:hAnsi="Palatino Linotype" w:cs="Arial"/>
          <w:lang w:eastAsia="es-MX"/>
        </w:rPr>
        <w:t>n</w:t>
      </w:r>
      <w:r w:rsidRPr="00DC522B">
        <w:rPr>
          <w:rFonts w:ascii="Palatino Linotype" w:hAnsi="Palatino Linotype" w:cs="Arial"/>
          <w:lang w:eastAsia="es-MX"/>
        </w:rPr>
        <w:t xml:space="preserve"> los supuestos </w:t>
      </w:r>
      <w:r w:rsidR="00D052DA">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B30650" w:rsidRPr="00DC522B" w:rsidRDefault="00D05D82" w:rsidP="00EA12D4">
      <w:pPr>
        <w:ind w:left="851" w:right="899"/>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lastRenderedPageBreak/>
        <w:t>Ante la falta de respuesta a una solicitud en el plazo previsto y en caso de que proceda el acceso, los costos de reproducción y envío correrán a cargo del sujeto obligado.</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B30650" w:rsidRPr="00DC522B" w:rsidRDefault="00FB6FE4" w:rsidP="00C86FB4">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De los </w:t>
      </w:r>
      <w:r w:rsidR="00B30650" w:rsidRPr="00DC522B">
        <w:rPr>
          <w:rFonts w:ascii="Palatino Linotype" w:hAnsi="Palatino Linotype" w:cs="Arial"/>
          <w:lang w:eastAsia="es-MX"/>
        </w:rPr>
        <w:t>ordenamiento</w:t>
      </w:r>
      <w:r>
        <w:rPr>
          <w:rFonts w:ascii="Palatino Linotype" w:hAnsi="Palatino Linotype" w:cs="Arial"/>
          <w:lang w:eastAsia="es-MX"/>
        </w:rPr>
        <w:t>s</w:t>
      </w:r>
      <w:r w:rsidR="00B30650" w:rsidRPr="00DC522B">
        <w:rPr>
          <w:rFonts w:ascii="Palatino Linotype" w:hAnsi="Palatino Linotype" w:cs="Arial"/>
          <w:lang w:eastAsia="es-MX"/>
        </w:rPr>
        <w:t xml:space="preserve"> anterior</w:t>
      </w:r>
      <w:r>
        <w:rPr>
          <w:rFonts w:ascii="Palatino Linotype" w:hAnsi="Palatino Linotype" w:cs="Arial"/>
          <w:lang w:eastAsia="es-MX"/>
        </w:rPr>
        <w:t>es</w:t>
      </w:r>
      <w:r w:rsidR="00B30650" w:rsidRPr="00DC522B">
        <w:rPr>
          <w:rFonts w:ascii="Palatino Linotype" w:hAnsi="Palatino Linotype" w:cs="Arial"/>
          <w:lang w:eastAsia="es-MX"/>
        </w:rPr>
        <w:t xml:space="preserve">, podemos concluir que siempre que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Pr>
          <w:rFonts w:ascii="Palatino Linotype" w:hAnsi="Palatino Linotype" w:cs="Arial"/>
          <w:lang w:eastAsia="es-MX"/>
        </w:rPr>
        <w:t xml:space="preserve"> alguno</w:t>
      </w:r>
      <w:r w:rsidR="00B30650" w:rsidRPr="00DC522B">
        <w:rPr>
          <w:rFonts w:ascii="Palatino Linotype" w:hAnsi="Palatino Linotype" w:cs="Arial"/>
          <w:lang w:eastAsia="es-MX"/>
        </w:rPr>
        <w:t xml:space="preserve"> para los particulares, y podrán acceder a ella excepto en los casos que </w:t>
      </w:r>
      <w:r w:rsidR="004275EC">
        <w:rPr>
          <w:rFonts w:ascii="Palatino Linotype" w:hAnsi="Palatino Linotype" w:cs="Arial"/>
          <w:lang w:eastAsia="es-MX"/>
        </w:rPr>
        <w:t xml:space="preserve">dicha información </w:t>
      </w:r>
      <w:r w:rsidR="00B30650" w:rsidRPr="00DC522B">
        <w:rPr>
          <w:rFonts w:ascii="Palatino Linotype" w:hAnsi="Palatino Linotype" w:cs="Arial"/>
          <w:lang w:eastAsia="es-MX"/>
        </w:rPr>
        <w:t>encuadre en los supuestos de clasificación de la información.</w:t>
      </w:r>
    </w:p>
    <w:p w:rsidR="00B30650" w:rsidRPr="00DC522B" w:rsidRDefault="003B0314" w:rsidP="00C86FB4">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En ese contexto, r</w:t>
      </w:r>
      <w:r w:rsidR="00B30650" w:rsidRPr="00DC522B">
        <w:rPr>
          <w:rFonts w:ascii="Palatino Linotype" w:hAnsi="Palatino Linotype" w:cs="Arial"/>
          <w:lang w:eastAsia="es-MX"/>
        </w:rPr>
        <w:t>elacionado con</w:t>
      </w:r>
      <w:r w:rsidR="004B6DDA">
        <w:rPr>
          <w:rFonts w:ascii="Palatino Linotype" w:hAnsi="Palatino Linotype" w:cs="Arial"/>
          <w:lang w:eastAsia="es-MX"/>
        </w:rPr>
        <w:t xml:space="preserve"> </w:t>
      </w:r>
      <w:r w:rsidR="00383A93">
        <w:rPr>
          <w:rFonts w:ascii="Palatino Linotype" w:hAnsi="Palatino Linotype" w:cs="Arial"/>
          <w:lang w:eastAsia="es-MX"/>
        </w:rPr>
        <w:t>el expediente concluido requerido en solicitud de información pública registrada con el número 00027/PROPAEM/IP/2018</w:t>
      </w:r>
      <w:r w:rsidR="00B30650" w:rsidRPr="00DC522B">
        <w:rPr>
          <w:rFonts w:ascii="Palatino Linotype" w:hAnsi="Palatino Linotype" w:cs="Arial"/>
          <w:lang w:eastAsia="es-MX"/>
        </w:rPr>
        <w:t xml:space="preserve">, es menester precisar que éste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puesto que</w:t>
      </w:r>
      <w:r>
        <w:rPr>
          <w:rFonts w:ascii="Palatino Linotype" w:hAnsi="Palatino Linotype" w:cs="Arial"/>
          <w:lang w:eastAsia="es-MX"/>
        </w:rPr>
        <w:t xml:space="preserve"> de</w:t>
      </w:r>
      <w:r w:rsidR="00B30650" w:rsidRPr="00DC522B">
        <w:rPr>
          <w:rFonts w:ascii="Palatino Linotype" w:hAnsi="Palatino Linotype" w:cs="Arial"/>
          <w:lang w:eastAsia="es-MX"/>
        </w:rPr>
        <w:t xml:space="preserve"> las referidas en </w:t>
      </w:r>
      <w:r w:rsidR="00757F78">
        <w:rPr>
          <w:rFonts w:ascii="Palatino Linotype" w:hAnsi="Palatino Linotype" w:cs="Arial"/>
          <w:lang w:eastAsia="es-MX"/>
        </w:rPr>
        <w:t xml:space="preserve">los </w:t>
      </w:r>
      <w:r w:rsidR="00B30650" w:rsidRPr="00DC522B">
        <w:rPr>
          <w:rFonts w:ascii="Palatino Linotype" w:hAnsi="Palatino Linotype" w:cs="Arial"/>
          <w:lang w:eastAsia="es-MX"/>
        </w:rPr>
        <w:t>artícu</w:t>
      </w:r>
      <w:r w:rsidR="004275EC">
        <w:rPr>
          <w:rFonts w:ascii="Palatino Linotype" w:hAnsi="Palatino Linotype" w:cs="Arial"/>
          <w:lang w:eastAsia="es-MX"/>
        </w:rPr>
        <w:t>lo</w:t>
      </w:r>
      <w:r w:rsidR="00757F78">
        <w:rPr>
          <w:rFonts w:ascii="Palatino Linotype" w:hAnsi="Palatino Linotype" w:cs="Arial"/>
          <w:lang w:eastAsia="es-MX"/>
        </w:rPr>
        <w:t>s</w:t>
      </w:r>
      <w:r w:rsidR="004275EC">
        <w:rPr>
          <w:rFonts w:ascii="Palatino Linotype" w:hAnsi="Palatino Linotype" w:cs="Arial"/>
          <w:lang w:eastAsia="es-MX"/>
        </w:rPr>
        <w:t xml:space="preserve"> 92</w:t>
      </w:r>
      <w:r w:rsidR="00757F78">
        <w:rPr>
          <w:rFonts w:ascii="Palatino Linotype" w:hAnsi="Palatino Linotype" w:cs="Arial"/>
          <w:lang w:eastAsia="es-MX"/>
        </w:rPr>
        <w:t xml:space="preserve"> y 94</w:t>
      </w:r>
      <w:r w:rsidR="004B6DDA">
        <w:rPr>
          <w:rFonts w:ascii="Palatino Linotype" w:hAnsi="Palatino Linotype" w:cs="Arial"/>
          <w:lang w:eastAsia="es-MX"/>
        </w:rPr>
        <w:t xml:space="preserve"> de la Ley de Transparencia y Acceso a la Información Pública del Estado de México y Municipios</w:t>
      </w:r>
      <w:r w:rsidR="00B30650" w:rsidRPr="00DC522B">
        <w:rPr>
          <w:rFonts w:ascii="Palatino Linotype" w:hAnsi="Palatino Linotype" w:cs="Arial"/>
          <w:lang w:eastAsia="es-MX"/>
        </w:rPr>
        <w:t>, 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B30650" w:rsidRPr="00DC522B">
        <w:rPr>
          <w:rFonts w:ascii="Palatino Linotype" w:hAnsi="Palatino Linotype" w:cs="Arial"/>
          <w:lang w:eastAsia="es-MX"/>
        </w:rPr>
        <w:t xml:space="preserve"> para </w:t>
      </w:r>
      <w:r w:rsidR="00B30650" w:rsidRPr="00DC522B">
        <w:rPr>
          <w:rFonts w:ascii="Palatino Linotype" w:hAnsi="Palatino Linotype" w:cs="Arial"/>
          <w:lang w:eastAsia="es-MX"/>
        </w:rPr>
        <w:lastRenderedPageBreak/>
        <w:t>requer</w:t>
      </w:r>
      <w:r w:rsidR="00C86FB4">
        <w:rPr>
          <w:rFonts w:ascii="Palatino Linotype" w:hAnsi="Palatino Linotype" w:cs="Arial"/>
          <w:lang w:eastAsia="es-MX"/>
        </w:rPr>
        <w:t>ir el previo pago de derechos al</w:t>
      </w:r>
      <w:r w:rsidR="004275EC">
        <w:rPr>
          <w:rFonts w:ascii="Palatino Linotype" w:hAnsi="Palatino Linotype" w:cs="Arial"/>
          <w:lang w:eastAsia="es-MX"/>
        </w:rPr>
        <w:t xml:space="preserve"> solicitante </w:t>
      </w:r>
      <w:r w:rsidR="00B30650" w:rsidRPr="00DC522B">
        <w:rPr>
          <w:rFonts w:ascii="Palatino Linotype" w:hAnsi="Palatino Linotype" w:cs="Arial"/>
          <w:lang w:eastAsia="es-MX"/>
        </w:rPr>
        <w:t xml:space="preserve">por concepto de escaneo y </w:t>
      </w:r>
      <w:r w:rsidR="00757F78">
        <w:rPr>
          <w:rFonts w:ascii="Palatino Linotype" w:hAnsi="Palatino Linotype" w:cs="Arial"/>
          <w:lang w:eastAsia="es-MX"/>
        </w:rPr>
        <w:t>digitalización</w:t>
      </w:r>
      <w:r w:rsidR="00B30650" w:rsidRPr="00DC522B">
        <w:rPr>
          <w:rFonts w:ascii="Palatino Linotype" w:hAnsi="Palatino Linotype" w:cs="Arial"/>
          <w:lang w:eastAsia="es-MX"/>
        </w:rPr>
        <w:t xml:space="preserve"> de la información para su envío.</w:t>
      </w:r>
    </w:p>
    <w:p w:rsidR="00EF530D" w:rsidRPr="00F441FF" w:rsidRDefault="00B30650" w:rsidP="00C86FB4">
      <w:pPr>
        <w:spacing w:before="100" w:beforeAutospacing="1" w:after="100" w:afterAutospacing="1" w:line="360" w:lineRule="auto"/>
        <w:jc w:val="both"/>
        <w:rPr>
          <w:rFonts w:ascii="Palatino Linotype" w:hAnsi="Palatino Linotype" w:cs="Arial"/>
          <w:lang w:eastAsia="es-MX"/>
        </w:rPr>
      </w:pPr>
      <w:r w:rsidRPr="00DC522B">
        <w:rPr>
          <w:rFonts w:ascii="Palatino Linotype" w:hAnsi="Palatino Linotype" w:cs="Arial"/>
          <w:lang w:eastAsia="es-MX"/>
        </w:rPr>
        <w:t>Por ende</w:t>
      </w:r>
      <w:r w:rsidR="00F441FF">
        <w:rPr>
          <w:rFonts w:ascii="Palatino Linotype" w:hAnsi="Palatino Linotype" w:cs="Arial"/>
          <w:lang w:eastAsia="es-MX"/>
        </w:rPr>
        <w:t>, considero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sidR="004275EC">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sidR="00F441FF">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B30650" w:rsidRPr="00DC522B" w:rsidRDefault="00D05D82" w:rsidP="00EA12D4">
      <w:pPr>
        <w:ind w:left="851" w:right="899"/>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EF530D"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EF530D" w:rsidRDefault="005B3099" w:rsidP="00C86FB4">
      <w:pPr>
        <w:spacing w:before="100" w:beforeAutospacing="1" w:after="100" w:afterAutospacing="1" w:line="360" w:lineRule="auto"/>
        <w:ind w:right="49"/>
        <w:jc w:val="both"/>
        <w:rPr>
          <w:rFonts w:ascii="Palatino Linotype" w:hAnsi="Palatino Linotype" w:cs="Arial"/>
        </w:rPr>
      </w:pPr>
      <w:r w:rsidRPr="00574CFC">
        <w:rPr>
          <w:rFonts w:ascii="Palatino Linotype" w:hAnsi="Palatino Linotype"/>
        </w:rPr>
        <w:t xml:space="preserve">En razón de lo expuesto, la que suscribe </w:t>
      </w:r>
      <w:r w:rsidRPr="00574CFC">
        <w:rPr>
          <w:rFonts w:ascii="Palatino Linotype" w:hAnsi="Palatino Linotype" w:cs="Arial"/>
        </w:rPr>
        <w:t xml:space="preserve">emite </w:t>
      </w:r>
      <w:r w:rsidRPr="00574CFC">
        <w:rPr>
          <w:rFonts w:ascii="Palatino Linotype" w:hAnsi="Palatino Linotype" w:cs="Arial"/>
          <w:b/>
        </w:rPr>
        <w:t xml:space="preserve">VOTO PARTICULAR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ordenar </w:t>
      </w:r>
      <w:r>
        <w:rPr>
          <w:rFonts w:ascii="Palatino Linotype" w:hAnsi="Palatino Linotype" w:cs="Arial"/>
        </w:rPr>
        <w:t>la entrega de la información previo</w:t>
      </w:r>
      <w:r w:rsidR="00C86FB4">
        <w:rPr>
          <w:rFonts w:ascii="Palatino Linotype" w:hAnsi="Palatino Linotype" w:cs="Arial"/>
        </w:rPr>
        <w:t xml:space="preserve"> pago de derechos que realice el</w:t>
      </w:r>
      <w:r>
        <w:rPr>
          <w:rFonts w:ascii="Palatino Linotype" w:hAnsi="Palatino Linotype" w:cs="Arial"/>
        </w:rPr>
        <w:t xml:space="preserve"> particular, toda vez que al carecer de no</w:t>
      </w:r>
      <w:r w:rsidR="004B6DDA">
        <w:rPr>
          <w:rFonts w:ascii="Palatino Linotype" w:hAnsi="Palatino Linotype" w:cs="Arial"/>
        </w:rPr>
        <w:t>r</w:t>
      </w:r>
      <w:r>
        <w:rPr>
          <w:rFonts w:ascii="Palatino Linotype" w:hAnsi="Palatino Linotype" w:cs="Arial"/>
        </w:rPr>
        <w:t xml:space="preserve">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w:t>
      </w:r>
      <w:r w:rsidR="00757F78">
        <w:rPr>
          <w:rFonts w:ascii="Palatino Linotype" w:hAnsi="Palatino Linotype" w:cs="Arial"/>
        </w:rPr>
        <w:t xml:space="preserve"> </w:t>
      </w:r>
      <w:r>
        <w:rPr>
          <w:rFonts w:ascii="Palatino Linotype" w:hAnsi="Palatino Linotype" w:cs="Arial"/>
        </w:rPr>
        <w:t>l</w:t>
      </w:r>
      <w:r w:rsidR="00757F78">
        <w:rPr>
          <w:rFonts w:ascii="Palatino Linotype" w:hAnsi="Palatino Linotype" w:cs="Arial"/>
        </w:rPr>
        <w:t xml:space="preserve">a digitalización </w:t>
      </w:r>
      <w:r>
        <w:rPr>
          <w:rFonts w:ascii="Palatino Linotype" w:hAnsi="Palatino Linotype" w:cs="Arial"/>
        </w:rPr>
        <w:t>de la misma</w:t>
      </w:r>
      <w:r w:rsidR="003B0314">
        <w:rPr>
          <w:rFonts w:ascii="Palatino Linotype" w:hAnsi="Palatino Linotype" w:cs="Arial"/>
        </w:rPr>
        <w:t xml:space="preserve"> a fin de atender la modalidad elegida</w:t>
      </w:r>
      <w:r w:rsidR="00757F78">
        <w:rPr>
          <w:rFonts w:ascii="Palatino Linotype" w:hAnsi="Palatino Linotype" w:cs="Arial"/>
        </w:rPr>
        <w:t xml:space="preserve"> en </w:t>
      </w:r>
      <w:r w:rsidR="00757F78">
        <w:rPr>
          <w:rFonts w:ascii="Palatino Linotype" w:hAnsi="Palatino Linotype" w:cs="Arial"/>
        </w:rPr>
        <w:lastRenderedPageBreak/>
        <w:t>atención a los principios de gratuidad y legalidad previstos en las fracciones III y VI del numeral 9 de la Ley de Transparencia y Acceso a la Información Pública del Estado de México y Municipios</w:t>
      </w:r>
      <w:r>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5B3099" w:rsidRPr="00574CFC" w:rsidTr="00F15AB3">
        <w:trPr>
          <w:jc w:val="center"/>
        </w:trPr>
        <w:tc>
          <w:tcPr>
            <w:tcW w:w="4393" w:type="dxa"/>
          </w:tcPr>
          <w:p w:rsidR="00EA12D4" w:rsidRDefault="00EA12D4" w:rsidP="00EA12D4">
            <w:pPr>
              <w:jc w:val="center"/>
              <w:rPr>
                <w:rFonts w:ascii="Palatino Linotype" w:hAnsi="Palatino Linotype"/>
                <w:b/>
              </w:rPr>
            </w:pPr>
          </w:p>
          <w:p w:rsidR="00EA12D4" w:rsidRDefault="00EA12D4" w:rsidP="00EA12D4">
            <w:pPr>
              <w:jc w:val="center"/>
              <w:rPr>
                <w:rFonts w:ascii="Palatino Linotype" w:hAnsi="Palatino Linotype"/>
                <w:b/>
              </w:rPr>
            </w:pPr>
          </w:p>
          <w:p w:rsidR="00757F78" w:rsidRDefault="00757F78" w:rsidP="00EA12D4">
            <w:pPr>
              <w:jc w:val="center"/>
              <w:rPr>
                <w:rFonts w:ascii="Palatino Linotype" w:hAnsi="Palatino Linotype"/>
                <w:b/>
              </w:rPr>
            </w:pPr>
          </w:p>
          <w:p w:rsidR="00757F78" w:rsidRDefault="00757F78" w:rsidP="00EA12D4">
            <w:pPr>
              <w:jc w:val="center"/>
              <w:rPr>
                <w:rFonts w:ascii="Palatino Linotype" w:hAnsi="Palatino Linotype"/>
                <w:b/>
              </w:rPr>
            </w:pPr>
          </w:p>
          <w:p w:rsidR="00757F78" w:rsidRDefault="00757F78" w:rsidP="00EA12D4">
            <w:pPr>
              <w:jc w:val="center"/>
              <w:rPr>
                <w:rFonts w:ascii="Palatino Linotype" w:hAnsi="Palatino Linotype"/>
                <w:b/>
              </w:rPr>
            </w:pPr>
          </w:p>
          <w:p w:rsidR="00757F78" w:rsidRDefault="00757F78" w:rsidP="00EA12D4">
            <w:pPr>
              <w:jc w:val="center"/>
              <w:rPr>
                <w:rFonts w:ascii="Palatino Linotype" w:hAnsi="Palatino Linotype"/>
                <w:b/>
              </w:rPr>
            </w:pPr>
          </w:p>
          <w:p w:rsidR="00757F78" w:rsidRDefault="00757F78" w:rsidP="00EA12D4">
            <w:pPr>
              <w:jc w:val="center"/>
              <w:rPr>
                <w:rFonts w:ascii="Palatino Linotype" w:hAnsi="Palatino Linotype"/>
                <w:b/>
              </w:rPr>
            </w:pPr>
          </w:p>
          <w:p w:rsidR="00757F78" w:rsidRDefault="00757F78" w:rsidP="00EA12D4">
            <w:pPr>
              <w:jc w:val="center"/>
              <w:rPr>
                <w:rFonts w:ascii="Palatino Linotype" w:hAnsi="Palatino Linotype"/>
                <w:b/>
              </w:rPr>
            </w:pPr>
          </w:p>
          <w:p w:rsidR="00757F78" w:rsidRDefault="00757F78" w:rsidP="00EA12D4">
            <w:pPr>
              <w:jc w:val="center"/>
              <w:rPr>
                <w:rFonts w:ascii="Palatino Linotype" w:hAnsi="Palatino Linotype"/>
                <w:b/>
              </w:rPr>
            </w:pPr>
          </w:p>
          <w:p w:rsidR="00757F78" w:rsidRDefault="00757F78" w:rsidP="00EA12D4">
            <w:pPr>
              <w:jc w:val="center"/>
              <w:rPr>
                <w:rFonts w:ascii="Palatino Linotype" w:hAnsi="Palatino Linotype"/>
                <w:b/>
              </w:rPr>
            </w:pPr>
          </w:p>
          <w:p w:rsidR="00EA12D4" w:rsidRDefault="00EA12D4" w:rsidP="00EA12D4">
            <w:pPr>
              <w:jc w:val="center"/>
              <w:rPr>
                <w:rFonts w:ascii="Palatino Linotype" w:hAnsi="Palatino Linotype"/>
                <w:b/>
              </w:rPr>
            </w:pPr>
            <w:bookmarkStart w:id="0" w:name="_GoBack"/>
            <w:bookmarkEnd w:id="0"/>
          </w:p>
          <w:p w:rsidR="005B3099" w:rsidRPr="00574CFC" w:rsidRDefault="005B3099" w:rsidP="00EA12D4">
            <w:pPr>
              <w:jc w:val="center"/>
              <w:rPr>
                <w:rFonts w:ascii="Palatino Linotype" w:hAnsi="Palatino Linotype"/>
                <w:b/>
              </w:rPr>
            </w:pPr>
            <w:r w:rsidRPr="00574CFC">
              <w:rPr>
                <w:rFonts w:ascii="Palatino Linotype" w:hAnsi="Palatino Linotype"/>
                <w:b/>
              </w:rPr>
              <w:t>EVA ABAID YAPUR</w:t>
            </w:r>
          </w:p>
          <w:p w:rsidR="005B3099" w:rsidRDefault="005B3099" w:rsidP="00AB783C">
            <w:pPr>
              <w:jc w:val="center"/>
              <w:rPr>
                <w:rFonts w:ascii="Palatino Linotype" w:hAnsi="Palatino Linotype"/>
                <w:b/>
              </w:rPr>
            </w:pPr>
            <w:r w:rsidRPr="00574CFC">
              <w:rPr>
                <w:rFonts w:ascii="Palatino Linotype" w:hAnsi="Palatino Linotype"/>
                <w:b/>
              </w:rPr>
              <w:t>COMISIONADA</w:t>
            </w:r>
          </w:p>
          <w:p w:rsidR="00F14732" w:rsidRPr="00574CFC" w:rsidRDefault="00F14732" w:rsidP="00AB783C">
            <w:pPr>
              <w:jc w:val="center"/>
              <w:rPr>
                <w:rFonts w:ascii="Palatino Linotype" w:hAnsi="Palatino Linotype"/>
                <w:b/>
              </w:rPr>
            </w:pPr>
            <w:r>
              <w:rPr>
                <w:rFonts w:ascii="Palatino Linotype" w:hAnsi="Palatino Linotype" w:cs="Arial"/>
                <w:b/>
              </w:rPr>
              <w:t>(RÚBRICA)</w:t>
            </w:r>
          </w:p>
        </w:tc>
      </w:tr>
    </w:tbl>
    <w:p w:rsidR="00EA12D4" w:rsidRDefault="00EA12D4"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757F78" w:rsidRDefault="00757F78" w:rsidP="00EA12D4">
      <w:pPr>
        <w:jc w:val="both"/>
        <w:rPr>
          <w:rFonts w:ascii="Palatino Linotype" w:eastAsia="Calibri" w:hAnsi="Palatino Linotype" w:cs="Arial"/>
          <w:sz w:val="20"/>
        </w:rPr>
      </w:pPr>
    </w:p>
    <w:p w:rsidR="00A517EA" w:rsidRDefault="00D05D82" w:rsidP="00EA12D4">
      <w:pPr>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 xml:space="preserve">sta hoja corresponde al voto particular 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EF530D">
        <w:rPr>
          <w:rFonts w:ascii="Palatino Linotype" w:eastAsia="Calibri" w:hAnsi="Palatino Linotype" w:cs="Arial"/>
          <w:sz w:val="20"/>
        </w:rPr>
        <w:t>l</w:t>
      </w:r>
      <w:r w:rsidR="00A517EA" w:rsidRPr="00D05D82">
        <w:rPr>
          <w:rFonts w:ascii="Palatino Linotype" w:eastAsia="Calibri" w:hAnsi="Palatino Linotype" w:cs="Arial"/>
          <w:sz w:val="20"/>
        </w:rPr>
        <w:t xml:space="preserve"> recurso de revisión</w:t>
      </w:r>
      <w:r w:rsidR="00EF530D">
        <w:rPr>
          <w:rFonts w:ascii="Palatino Linotype" w:eastAsia="Calibri" w:hAnsi="Palatino Linotype" w:cs="Arial"/>
          <w:sz w:val="20"/>
        </w:rPr>
        <w:t xml:space="preserve"> </w:t>
      </w:r>
      <w:r w:rsidR="00C86FB4">
        <w:rPr>
          <w:rFonts w:ascii="Palatino Linotype" w:eastAsia="Calibri" w:hAnsi="Palatino Linotype" w:cs="Arial"/>
          <w:sz w:val="20"/>
        </w:rPr>
        <w:t>02098</w:t>
      </w:r>
      <w:r w:rsidR="00EF530D" w:rsidRPr="00EF530D">
        <w:rPr>
          <w:rFonts w:ascii="Palatino Linotype" w:eastAsia="Calibri" w:hAnsi="Palatino Linotype" w:cs="Arial"/>
          <w:sz w:val="20"/>
        </w:rPr>
        <w:t>/INFOEM/IP/RR/2018</w:t>
      </w:r>
      <w:r w:rsidR="006C63C4">
        <w:rPr>
          <w:rFonts w:ascii="Palatino Linotype" w:eastAsia="Calibri" w:hAnsi="Palatino Linotype" w:cs="Arial"/>
          <w:sz w:val="20"/>
        </w:rPr>
        <w:t xml:space="preserve"> aprobada el </w:t>
      </w:r>
      <w:r w:rsidR="00C86FB4">
        <w:rPr>
          <w:rFonts w:ascii="Palatino Linotype" w:eastAsia="Calibri" w:hAnsi="Palatino Linotype" w:cs="Arial"/>
          <w:sz w:val="20"/>
        </w:rPr>
        <w:t>quince de agosto</w:t>
      </w:r>
      <w:r w:rsidR="005B3099" w:rsidRPr="00D05D82">
        <w:rPr>
          <w:rFonts w:ascii="Palatino Linotype" w:eastAsia="Calibri" w:hAnsi="Palatino Linotype" w:cs="Arial"/>
          <w:sz w:val="20"/>
        </w:rPr>
        <w:t xml:space="preserve"> de dos mil </w:t>
      </w:r>
      <w:r w:rsidR="00DD5275" w:rsidRPr="00D05D82">
        <w:rPr>
          <w:rFonts w:ascii="Palatino Linotype" w:eastAsia="Calibri" w:hAnsi="Palatino Linotype" w:cs="Arial"/>
          <w:sz w:val="20"/>
        </w:rPr>
        <w:t>dieciocho</w:t>
      </w:r>
      <w:r w:rsidR="00A517EA" w:rsidRPr="00D05D82">
        <w:rPr>
          <w:rFonts w:ascii="Palatino Linotype" w:eastAsia="Calibri" w:hAnsi="Palatino Linotype" w:cs="Arial"/>
          <w:sz w:val="20"/>
        </w:rPr>
        <w:t xml:space="preserve">. </w:t>
      </w:r>
    </w:p>
    <w:p w:rsidR="00AB783C" w:rsidRPr="00AB783C" w:rsidRDefault="00AB783C" w:rsidP="00EA12D4">
      <w:pPr>
        <w:jc w:val="both"/>
        <w:rPr>
          <w:rFonts w:ascii="Palatino Linotype" w:eastAsia="Calibri" w:hAnsi="Palatino Linotype" w:cs="Arial"/>
          <w:sz w:val="6"/>
        </w:rPr>
      </w:pPr>
    </w:p>
    <w:p w:rsidR="00C86FB4" w:rsidRPr="006D731E" w:rsidRDefault="00A517EA" w:rsidP="00EA12D4">
      <w:pPr>
        <w:jc w:val="both"/>
      </w:pPr>
      <w:r w:rsidRPr="00D05D82">
        <w:rPr>
          <w:rFonts w:ascii="Palatino Linotype" w:eastAsia="Calibri" w:hAnsi="Palatino Linotype" w:cs="Arial"/>
          <w:sz w:val="20"/>
        </w:rPr>
        <w:t>YSM/</w:t>
      </w:r>
      <w:r w:rsidR="00C86FB4">
        <w:rPr>
          <w:rFonts w:ascii="Palatino Linotype" w:eastAsia="Calibri" w:hAnsi="Palatino Linotype" w:cs="Arial"/>
          <w:sz w:val="20"/>
        </w:rPr>
        <w:t>IAHA</w:t>
      </w:r>
    </w:p>
    <w:sectPr w:rsidR="00C86FB4" w:rsidRPr="006D731E" w:rsidSect="006D731E">
      <w:headerReference w:type="default" r:id="rId6"/>
      <w:footerReference w:type="default" r:id="rId7"/>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BF2" w:rsidRDefault="00041BF2" w:rsidP="00DB3A83">
      <w:r>
        <w:separator/>
      </w:r>
    </w:p>
  </w:endnote>
  <w:endnote w:type="continuationSeparator" w:id="0">
    <w:p w:rsidR="00041BF2" w:rsidRDefault="00041BF2"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041BF2" w:rsidP="003056D9">
    <w:pPr>
      <w:pStyle w:val="Piedepgina"/>
      <w:tabs>
        <w:tab w:val="clear" w:pos="4252"/>
        <w:tab w:val="left" w:pos="4228"/>
      </w:tabs>
      <w:rPr>
        <w:rFonts w:ascii="Palatino Linotype" w:hAnsi="Palatino Linotype" w:cs="Arial"/>
        <w:b/>
        <w:bCs/>
        <w:sz w:val="20"/>
        <w:szCs w:val="20"/>
      </w:rPr>
    </w:pPr>
  </w:p>
  <w:p w:rsidR="00757F78" w:rsidRDefault="00757F78" w:rsidP="003056D9">
    <w:pPr>
      <w:pStyle w:val="Piedepgina"/>
      <w:tabs>
        <w:tab w:val="clear" w:pos="4252"/>
        <w:tab w:val="left" w:pos="4228"/>
      </w:tabs>
      <w:rPr>
        <w:rFonts w:ascii="Palatino Linotype" w:hAnsi="Palatino Linotype" w:cs="Arial"/>
        <w:b/>
        <w:bCs/>
        <w:sz w:val="20"/>
        <w:szCs w:val="20"/>
      </w:rPr>
    </w:pPr>
  </w:p>
  <w:p w:rsidR="00757F78" w:rsidRDefault="00757F78" w:rsidP="003056D9">
    <w:pPr>
      <w:pStyle w:val="Piedepgina"/>
      <w:tabs>
        <w:tab w:val="clear" w:pos="4252"/>
        <w:tab w:val="left" w:pos="4228"/>
      </w:tabs>
      <w:rPr>
        <w:rFonts w:ascii="Palatino Linotype" w:hAnsi="Palatino Linotype" w:cs="Arial"/>
        <w:b/>
        <w:bCs/>
        <w:sz w:val="20"/>
        <w:szCs w:val="20"/>
      </w:rPr>
    </w:pPr>
  </w:p>
  <w:p w:rsidR="003056D9" w:rsidRDefault="00041BF2" w:rsidP="003056D9">
    <w:pPr>
      <w:pStyle w:val="Piedepgina"/>
      <w:tabs>
        <w:tab w:val="clear" w:pos="4252"/>
        <w:tab w:val="left" w:pos="4228"/>
      </w:tabs>
      <w:rPr>
        <w:rFonts w:ascii="Palatino Linotype" w:hAnsi="Palatino Linotype" w:cs="Arial"/>
        <w:b/>
        <w:bCs/>
        <w:sz w:val="20"/>
        <w:szCs w:val="20"/>
      </w:rPr>
    </w:pPr>
  </w:p>
  <w:p w:rsidR="003056D9" w:rsidRDefault="00041BF2" w:rsidP="003056D9">
    <w:pPr>
      <w:pStyle w:val="Piedepgina"/>
      <w:tabs>
        <w:tab w:val="clear" w:pos="4252"/>
        <w:tab w:val="left" w:pos="4228"/>
      </w:tabs>
      <w:rPr>
        <w:rFonts w:ascii="Palatino Linotype" w:hAnsi="Palatino Linotype" w:cs="Arial"/>
        <w:b/>
        <w:bCs/>
        <w:sz w:val="20"/>
        <w:szCs w:val="20"/>
      </w:rPr>
    </w:pPr>
  </w:p>
  <w:p w:rsidR="00455CB3" w:rsidRDefault="00041BF2"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14732">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14732">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041BF2"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BF2" w:rsidRDefault="00041BF2" w:rsidP="00DB3A83">
      <w:r>
        <w:separator/>
      </w:r>
    </w:p>
  </w:footnote>
  <w:footnote w:type="continuationSeparator" w:id="0">
    <w:p w:rsidR="00041BF2" w:rsidRDefault="00041BF2"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041BF2"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041BF2"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23404" w:rsidRDefault="00B756DB" w:rsidP="008965AF">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A95F70">
      <w:rPr>
        <w:rFonts w:ascii="Palatino Linotype" w:hAnsi="Palatino Linotype" w:cs="Arial"/>
        <w:sz w:val="20"/>
        <w:szCs w:val="20"/>
      </w:rPr>
      <w:t xml:space="preserve"> </w:t>
    </w:r>
    <w:r w:rsidR="00A8771E">
      <w:rPr>
        <w:rFonts w:ascii="Palatino Linotype" w:hAnsi="Palatino Linotype" w:cs="Arial"/>
        <w:sz w:val="20"/>
        <w:szCs w:val="20"/>
      </w:rPr>
      <w:t>02098</w:t>
    </w:r>
    <w:r w:rsidR="008D4407" w:rsidRPr="008D4407">
      <w:rPr>
        <w:rFonts w:ascii="Palatino Linotype" w:hAnsi="Palatino Linotype" w:cs="Arial"/>
        <w:sz w:val="20"/>
        <w:szCs w:val="20"/>
      </w:rPr>
      <w:t xml:space="preserve">/INFOEM/IP/RR/2018 </w:t>
    </w:r>
  </w:p>
  <w:p w:rsidR="00125D2F" w:rsidRDefault="00041BF2"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72.9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2672"/>
    <w:rsid w:val="00035EF1"/>
    <w:rsid w:val="00041BF2"/>
    <w:rsid w:val="00043682"/>
    <w:rsid w:val="0005521A"/>
    <w:rsid w:val="000D5BC8"/>
    <w:rsid w:val="000F0C55"/>
    <w:rsid w:val="000F6A64"/>
    <w:rsid w:val="00117480"/>
    <w:rsid w:val="00191CF3"/>
    <w:rsid w:val="001976FE"/>
    <w:rsid w:val="001E5ED7"/>
    <w:rsid w:val="001F45A6"/>
    <w:rsid w:val="00216380"/>
    <w:rsid w:val="00224A94"/>
    <w:rsid w:val="00254372"/>
    <w:rsid w:val="00260EA1"/>
    <w:rsid w:val="002670A2"/>
    <w:rsid w:val="00296C85"/>
    <w:rsid w:val="00303EAE"/>
    <w:rsid w:val="00324EBE"/>
    <w:rsid w:val="00383A93"/>
    <w:rsid w:val="003B0314"/>
    <w:rsid w:val="003B0E62"/>
    <w:rsid w:val="003C2F6A"/>
    <w:rsid w:val="004275EC"/>
    <w:rsid w:val="00437359"/>
    <w:rsid w:val="004B5C25"/>
    <w:rsid w:val="004B6DDA"/>
    <w:rsid w:val="0053148C"/>
    <w:rsid w:val="00536147"/>
    <w:rsid w:val="005A4D7F"/>
    <w:rsid w:val="005B3099"/>
    <w:rsid w:val="00654FE9"/>
    <w:rsid w:val="006801D4"/>
    <w:rsid w:val="006A33F9"/>
    <w:rsid w:val="006B0D54"/>
    <w:rsid w:val="006B30CD"/>
    <w:rsid w:val="006C63C4"/>
    <w:rsid w:val="006C7D0A"/>
    <w:rsid w:val="006D731E"/>
    <w:rsid w:val="00757F78"/>
    <w:rsid w:val="007C63BC"/>
    <w:rsid w:val="007C7A0C"/>
    <w:rsid w:val="00811B0B"/>
    <w:rsid w:val="00823404"/>
    <w:rsid w:val="00862F43"/>
    <w:rsid w:val="00864D3F"/>
    <w:rsid w:val="008965AF"/>
    <w:rsid w:val="008A35FA"/>
    <w:rsid w:val="008B0732"/>
    <w:rsid w:val="008D4407"/>
    <w:rsid w:val="00913E69"/>
    <w:rsid w:val="00923500"/>
    <w:rsid w:val="0094319B"/>
    <w:rsid w:val="00990B93"/>
    <w:rsid w:val="009F0C59"/>
    <w:rsid w:val="00A12991"/>
    <w:rsid w:val="00A15DD9"/>
    <w:rsid w:val="00A2795F"/>
    <w:rsid w:val="00A517EA"/>
    <w:rsid w:val="00A8771E"/>
    <w:rsid w:val="00A95F70"/>
    <w:rsid w:val="00A96975"/>
    <w:rsid w:val="00AA09B9"/>
    <w:rsid w:val="00AB783C"/>
    <w:rsid w:val="00AC2253"/>
    <w:rsid w:val="00B12945"/>
    <w:rsid w:val="00B30650"/>
    <w:rsid w:val="00B756DB"/>
    <w:rsid w:val="00B860BF"/>
    <w:rsid w:val="00C86FB4"/>
    <w:rsid w:val="00C95A75"/>
    <w:rsid w:val="00CE0D21"/>
    <w:rsid w:val="00CF70C6"/>
    <w:rsid w:val="00D052DA"/>
    <w:rsid w:val="00D05D82"/>
    <w:rsid w:val="00D064C2"/>
    <w:rsid w:val="00D55E6A"/>
    <w:rsid w:val="00D724F4"/>
    <w:rsid w:val="00D872C4"/>
    <w:rsid w:val="00DB24D1"/>
    <w:rsid w:val="00DB3A83"/>
    <w:rsid w:val="00DD5275"/>
    <w:rsid w:val="00DF2B74"/>
    <w:rsid w:val="00E46292"/>
    <w:rsid w:val="00EA12D4"/>
    <w:rsid w:val="00EE5465"/>
    <w:rsid w:val="00EF530D"/>
    <w:rsid w:val="00F054F8"/>
    <w:rsid w:val="00F10238"/>
    <w:rsid w:val="00F14732"/>
    <w:rsid w:val="00F441FF"/>
    <w:rsid w:val="00F51491"/>
    <w:rsid w:val="00F579EE"/>
    <w:rsid w:val="00F64CC1"/>
    <w:rsid w:val="00F64E24"/>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7</Pages>
  <Words>1657</Words>
  <Characters>9118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7</cp:revision>
  <cp:lastPrinted>2018-07-30T20:21:00Z</cp:lastPrinted>
  <dcterms:created xsi:type="dcterms:W3CDTF">2018-08-16T19:16:00Z</dcterms:created>
  <dcterms:modified xsi:type="dcterms:W3CDTF">2018-10-11T01:25:00Z</dcterms:modified>
</cp:coreProperties>
</file>